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2011/16 vom 10. Januar 2013</w:t>
      </w:r>
    </w:p>
    <w:p>
      <w:r>
        <w:t>Sg Versicherungsgericht, 2013-01-10, DE</w:t>
      </w:r>
    </w:p>
    <w:p>
      <w:r>
        <w:rPr>
          <w:b/>
        </w:rPr>
        <w:t xml:space="preserve">Quelle: </w:t>
      </w:r>
      <w:r>
        <w:t>https://mcp.opencaselaw.ch/entscheid/sg_publikationen_IV 2011_16</w:t>
      </w:r>
    </w:p>
    <w:p>
      <w:r>
        <w:t>FR: SG_VERSICHERUNGSGERICHT IV 2011/16 du 10 janvier 2013</w:t>
      </w:r>
    </w:p>
    <w:p>
      <w:r>
        <w:t>IT: SG_VERSICHERUNGSGERICHT IV 2011/16 del 10 gennaio 2013</w:t>
      </w:r>
    </w:p>
    <w:p>
      <w:pPr>
        <w:pStyle w:val="Heading2"/>
      </w:pPr>
      <w:r>
        <w:t>Regeste</w:t>
      </w:r>
    </w:p>
    <w:p>
      <w:r>
        <w:t>Art. 16 ATSG. Art. 28 IVG. Art. 8 IVG. Art. 17 IVG. Würdigung medizinisches Gutachten. Verwertbarkeit der Restarbeitsfähigkeit. Bemessung des Invaliditätsgrads. Rückweisung zur Prüfung einer Umschulung (Entscheid des Versicherungsgerichts des Kantons St. Gallen vom 10. Januar 2013, IV 2011/16).</w:t>
      </w:r>
    </w:p>
    <w:p>
      <w:pPr>
        <w:pStyle w:val="Heading2"/>
      </w:pPr>
      <w:r>
        <w:t>Erwägungen</w:t>
      </w:r>
    </w:p>
    <w:p>
      <w:r>
        <w:rPr>
          <w:b/>
        </w:rPr>
        <w:t>E. 1</w:t>
      </w:r>
    </w:p>
    <w:p>
      <w:r>
        <w:t>1.1    Zwischen den Parteien ist der Rentenanspruch der Beschwerdeführerin streitig. 1.2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dieses Verfahren nicht von Bedeutung. 1.3    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1.5    Die Beschwerdegegnerin stützt ihren ablehnenden Entscheid auf das polydisziplinäre Gutachten vom 10. Februar 2009. Darin werden als Diagnosen mit Einfluss auf die Arbeitsfähigkeit genannt: Chronisches rechtsseitiges thorakolumbales Schmerzsyndrom mit/bei: ausgeprägter Fehlhaltung (Hohl-Rund-Rücken) und diskreter skoliotischer Fehlstatik (DD: im Rahmen einer kongenitalen Dysmorphie vom Typ Noonan Syndrom), hochgradiger myostatischer Insuffizienz mit multisegmentalen und Costotransversalgelenksfunktionsstörungen sowie Funktionsstörung des rechten ISG, multiplen Insertionstendinopathien bzw. Tendinosen, Status nach thorakalem und lumbalem Morbus Scheuermann mit Keilwirbelbildung BWK5; hochgradige linksbetonte sensorineurale Schwerhörigkeit beidseits mit/bei: seit 2000 apparativ versorgt, Status nach beidseitigem Hörsturz im Juni 2007. Unter den Diagnosen ohne Einfluss auf die Arbeitsfähigkeit sind aufgeführt: Diabetes mellitus Typ 1 mit/bei: Erstdiagnose 1977, diabetischer Nephropathie, diabetischer Retinopathie und Status nach beidseitiger panretinaler Laserkoagulation 1992, diabetischer peripherer sensibler und autonomer Polyneuropathie, Status nach kombinierter Nieren- und Pankreas-Allotransplantation am 30.03.1998, seither stabiler Funktion des Nieren- und Pankreas-Transplantates; kombinierte Persönlichkeitsstörung mit ängstlich vermeidenden und abhängig asthenischen Persönlichkeitszügen (ICD-10: F61.0); rezidivierende depressive Störung, gegenwärtig leichte Episode (ICD: F33.0). Aufgrund einer gestörten Statik und einer ausgeprägten Minderbelastbarkeit der Wirbelsäule bestehe ein Gesundheitsschaden, der eine Einschränkung der Arbeitsfähigkeit bewirke. Für die zuletzt ausgeübte Tätigkeit als Verkäuferin bzw. Allrounderin in einem Lebensmittelmarkt ergebe sich eine Arbeitsunfähigkeit von 50 %. Für eine behinderungsangepasste, leichte, wechselbelastende Tätigkeit, ohne Zwangshaltungen und ohne mehr als gelegentliches Arbeiten über die Armhorizontale hinaus und ohne Lärmexposition, bestehe aus interdisziplinärer Sicht eine Arbeitsfähigkeit von 70 %. Eine genaue Bestimmung des Beginns der Arbeitsunfähigkeit sei nicht möglich, dieser werde deshalb auf das Datum der Begutachtung festgelegt. Es könne nicht ausgeschlossen werden, dass in Zukunft durch haltungsbedingte Spätfolgen am Bewegungsapparat eine weitere Reduktion der Arbeitsfähigkeit eintrete (IV-act. 121 – 34f., 39f.). 1.6    In Bezug auf den Beweiswert des Gutachtens ist festzuhalten, dass dieses umfassend, schlüssig und nachvollziehbar erscheint. Es wird einleuchtend dargelegt, dass in der angestammten Tätigkeit der Beschwerdeführerin zwar eine 50%ige Arbeitsunfähigkeit bestehe, sie indes in der Lage sei, eine leidensangepasste Tätigkeit zu einem 70 %-Pensum auszuüben. Die Vorbringen der Beschwerdeführerin gegen das Gutachten erscheinen nicht stichhaltig. Sie macht geltend, nachdem ein Noonan-Syndrom seitens der Ärzte diagnostiziert worden sei, hätten wohl auch die kognitiven Fähigkeiten genauer abgeklärt werden müssen. Das Gutachten führt dazu aus, vom Phänotyp her lasse sich ein angeborenes Fehlbildungssyndrom vom Typ eines Noonan Syndroms vermuten. Diese Verdachtsdiagnose wäre nur mittels einer komplexen genetischen Analyse zu bestätigen, allerdings hätte dies weder therapeutische noch versicherungsmedizinische Konsequenzen (S. 37). Gemäss dieser Beurteilung erübrigen sich weitere Abklärungen im Zusammenhang mit einem Noonan-Syndrom. Im Übrigen hält das Gutachten auch fest, dass die kognitiven Funktionen intakt erschienen (S. 20); die Beschwerdeführerin hat denn auch eine zweijährige Ausbildung zur Lebensmittelverkäuferin abgeschlossen (vgl. S. 15). Dr. B.___ weist sodann in seinem Arztbericht vom 21. Juni 2010 darauf hin, die Gutachter hätten nicht berücksichtigt, dass die Beschwerdeführerin seit der Nieren- und Pankreas-Transplantation Medikamente nehmen müsse, die sehr häufig zu Astenie, Rückenschmerzen, Gelenks,- Nacken,- und Muskelschmerzen sowie myastenischen Beschwerden führen würden. Dieser Auffassung kann ebenfalls nicht gefolgt werden. Das Gutachten erwähnt im Zusammenhang mit der internistischen Unter­suchung die immunsuppressive Behandlung, und es gelangt eben zum Ergebnis, dass sich auf rein internistischem Fachgebiet eine Einschränkung der Arbeitsfähigkeit nicht begründen lasse (S. 37). Ohnehin wird selbst von Dr. B.___ festgehalten, die Dauerbehandlung mit den Medikamenten sei ohne Auswirkung auf die Arbeitsfähigkeit; dasselbe gilt bezüglich der neu diagnostizierten Endometriose. Keine Rolle zu spielen vermag schliesslich der Umstand, dass gemäss dem Zwischenzeugnis für die Tätigkeit der Beschwerdeführerin im J.___ das dort geleistete Arbeitspensum von 70 - 80 % über zwei Wochen für sie zu hoch gewesen sei (vgl. den Schlussbericht der Organisation I.___, IV-act. 151-2). Dabei handelte es sich um eine Verkaufstätigkeit, für welche gemäss Gutachten nur eine 50%ige Arbeitsfähigkeit besteht. Rechtsprechungsgemäss kommt dem polydisziplinären Gutachten vorliegend voller Beweiswert zu. Es kann zur Beurteilung des Rentenanspruchs darauf abgestellt werden.</w:t>
      </w:r>
    </w:p>
    <w:p>
      <w:r>
        <w:rPr>
          <w:b/>
        </w:rPr>
        <w:t>E. 2</w:t>
      </w:r>
    </w:p>
    <w:p>
      <w:r>
        <w:t>Die Beschwerdeführerin macht geltend, es sei davon auszugehen, dass auch auf dem ausgeglichenen Arbeitsmarkt keine Stelle vorhanden sei, welche ihren physischen Einschränkungen Rechnung trage oder zugleich eine Arbeitstätigkeit im Umfang von 70 % zulasse. Die gutachterlich attestierte medizinisch-theoretische Restarbeitsfähigkeit sei mithin nicht verwertbar.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276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Bezüglich der im Gutachten beschriebenen Tätigkeiten (angestammt im Verkauf 50 %; leidensangepasst 70 %) ist nicht von realitätsfremden und in diesem Sinn unmöglichen oder unzumutbaren Einsatzmöglichkeiten auszugehen. Diese Tätigkeiten sind nicht nur in so eingeschränkter Form möglich, dass sie der allgemeine Arbeitsmarkt praktisch nicht kennt oder sie nur unter nicht realistischem Entgegenkommen eines durchschnittlichen Arbeitgebers ausgeübt werden können (ZAK 1989 S. 322 E. 4a). Die Ausführungen der Beschwerdeführerin verkennen den grundsätzlich rein hypothetischen Charakter des ausgeglichenen Arbeitsmarktes, an dem festzuhalten ist, weil nur so die Risiken Arbeitslosigkeit und Invalidität voneinander abgegrenzt werden können. So geht es beim als ausgeglichen unterstellten Arbeitsmarkt nicht um offene Stellen, sondern um (gesundheitlich zumut­bare) Beschäftigungsmöglichkeiten, welche der Arbeitsmarkt von seiner Struktur her, jedoch abstrahiert von den konjunkturellen Verhältnissen, umfasst (Urteil des Eidgenössischen Versicherungsgerichts [EVG; seit 1. Januar 2007: Sozialversicherungsrechtliche Abteilungen des Bundesgerichts] vom 16. Juli 2003 i/S C. [I 758/02]). Im Ergebnis erweist sich das Argument, die von den Gutachtern beschriebenen Stellen würden auf dem realen Arbeitsmarkt nicht existieren, als unbegründet</w:t>
      </w:r>
    </w:p>
    <w:p>
      <w:r>
        <w:rPr>
          <w:b/>
        </w:rPr>
        <w:t>E. 3</w:t>
      </w:r>
    </w:p>
    <w:p>
      <w:r>
        <w:t>3.1    Damit bleibt zu prüfen, ob die Verwaltung den Invaliditätsgrad korrekt bestimmt hat.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3.2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Diese Praxis wird mit der empirischen Feststellung begründet, dass die bisherige Tätigkeit im Gesundheitsfall in der Regel weitergeführt worden wäre (Urteil des EVG vom 29. August 2002, I 97/00). Die Beschwerdegegnerin stellte in ihrer abweisenden Rentenver­fügung auf die vom Bundesamt für Statistik periodisch herausgegebenen Lohnstrukturerhebungen (LSE) ab, auf das Total Privater Sektor, Anforderungsniveau 4 (einfache und repetitive Tätigkeiten). Die Beschwerdeführerin hatte ursprünglich eine 2-jährige Ausbildung zur Lebensmittelverkäuferin absolviert. Sie hatte anschliessend bis 1997 mit einem vollen Pensum als Verkäuferin gearbeitet, bevor sie die Stelle gesundheits­bedingt wegen ihres Nierenleidens aufgeben musste. Im Zeitpunkt der Aufhebung der ganzen IV-Rente Ende 2000 war die Beschwerdeführerin erneut im Verkauf tätig, bis 2002, zu unterschiedlichen Arbeitspensen. Anschliessend war die Beschwerdeführerin arbeitslos bzw. als Hausfrau tätig. Nach ihrer Scheidung hatte sie von Juni 2006 bis Mai 2007 ein einjähriges Beschäftigungsprogramm im kaufmännischen Bereich absolviert. In der Folge war sie nur noch vereinzelt in befristeten Anstellungsverhältnissen tätig gewesen. Betrachtet man die berufliche Laufbahn der Beschwerdeführerin, liegt damit der Schwerpunkt eindeutig beim Verkauf. Folglich ist auch bei der Bestimmung des Valideneinkommens auf eine entsprechende Tätigkeit abzustellen. Dabei ist zu beachten, dass die Beschwerdeführerin in der Vergangenheit zu sehr unterschiedlichen Beschäftigungsgraden angestellt war. Ein Arbeitspensum von 100 % im freien Markt hatte sie zuletzt 2001 ausgeübt, und dies auch nur während eines Jahres. Die Einkommensbestimmung ist deshalb nicht anhand der bisherigen Einkünfte vorzunehmen, sondern es sind die LSE-Tabellen heranzuziehen. Um dem zumutbaren Resterwerbspotenzial gerecht zu werden, erscheint das Abstellen auf den Tätigkeitsbereich "Detailhandel u. Reparatur" der Tabelle TA1, Anforderungsniveau 3 (Berufs- und Fachkenntnisse vorausgesetzt) angemessen. Im Jahr 2008 lag der Durchschnittslohn für eine Frau bei einer wöchentlichen Arbeitszeit von 40 Stunden bei Fr. 4'256.--. Umgerechnet auf ein Jahr und unter Berücksichtigung der im Jahr 2008 betriebsüblichen Arbeitszeit von 41.6 Stunden pro Woche ergibt dies ein Valideneinkommen von Fr. 53'114.--.</w:t>
      </w:r>
    </w:p>
    <w:p>
      <w:r>
        <w:rPr>
          <w:b/>
        </w:rPr>
        <w:t>E. 3.3</w:t>
      </w:r>
    </w:p>
    <w:p>
      <w:r>
        <w:t>3.3.1           Für die Bestimmung des Invalideneinkommens ist primär von der beruflich-erwerblichen Situation auszugehen, in der die versicherte Person konkret steht oder stand.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Bezüglich der Bestimmung der Invalideneinkommens der Beschwerdeführerin ist nicht auf ihre angestammte Tätigkeit abzustellen, da sie als Verkäuferin die gutachterlich attestierte Arbeitsfähigkeit von 70 % nicht mehr erreichen kann. Ohne berufliche Massnahmen kommen für sie nur noch Hilfsarbeiten in Frage. Das Einkommen ist deshalb aufgrund der LSE-Tabellen zu bestimmen. Auf die der Beschwerdeführerin noch zumutbaren Tätigkeiten findet die LSE-Tabelle TA1, Privater Sektor, Total Anforderungsniveau 4, Anwendung. Im Jahr 2008 lag der Durchschnittslohn für eine Frau bei einer wöchentlichen Arbeitszeit von 40 Stunden bei Fr. 4'116.--. Umgerechnet auf ein Jahr und unter Berücksichtigung der im Jahr 2008 betriebsüblichen Arbeitszeit von 41.6 Stunden pro Woche ergibt dies ein Jahreseinkommen von Fr. 51'368.-- bzw. ein zumutbares Invalideneinkommen von Fr. 35'957.-- (0,7 x 51'368.--). 3.3.2           Zu prüfen ist sodann, ob das auf diese Weise bestimmte Invalideneinkommen allenfalls zu kürzen ist. Mit Abzügen vom Invalideneinkommen soll der Tatsache Rechnung getragen werden, dass persönliche und berufliche Merkmale einer versicherten Person, wie Art und Ausmass der Behinderung, Lebensalter, Dienstjahre, Nationalität oder Aufenthaltskategorie und Beschäftigungsgrad (vgl. LSE 94 S. 51) Auswirkungen auf die Lohnhöhe haben können (BGE 124 V 323 E. 3b/aa).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 Aufenthaltskategorie und Beschäftigungsgrad) unter Würdigung der Umstände im Einzelfall nach pflichtgemässem Ermessen gesamthaft zu schätzen. Dabei ist der Abzug auf insgesamt höchstens 25 % zu begrenzen (BGE 126 V 79 f. E. 5b/aa-cc). Im Sinn eines Leidensabzuges ist zu berücksichtigen, dass die Beschwerdeführerin nur noch leichte Tätigkeiten ausüben kann. Als erhebliche Einschränkung ist ausserdem zu qualifizieren, dass sie Zwangshaltungen vermeiden muss, Arbeiten über die Armhorizontale hinaus nur gelegentlich ausführen kann sowie keinem Lärm exponiert sein darf. Ihre hochgradige Schwerhörigkeit verlangt besondere Rücksichtnahme seitens eines Arbeitgebers (vgl. Urteil des Bundesgerichts vom 8. August 2008, 8C_791/2007, E. 3.2). Daneben dürfte sich als lohnreduzierend auswirken, dass die Einnahme der Immun­supressiva, auf welche die Beschwerdeführerin angewiesen ist, mit zahlreichen gesundheitlichen Nebenwirkungen verbunden sein kann. Dazu gehört insbesondere auch eine erhöhte Infektionsanfälligkeit. Aufgrund derselben könnten gelegentliche Arbeitsausfälle resultieren. Gesamthaft erscheint die Vornahme eines Leidensabzugs von 15 % gerechtfertigt. 3.4    Unter Berücksichtigung des Leidensabzuges errechnet sich ein Invalideneinkommen von Fr. 30'564.-- (Fr. 51'368.-- x 0.7 x 0,85). Bei einem Valideneinkommen von Fr. 53'114.-- und einem Invalideneinkommen von Fr. 30'564.-- resultiert ein Erwerbsausfall von Fr. 22'550.-- (Fr. 53'114.-- abzüglich Fr. 30'564.--) und ein Invaliditätsgrad von abgerundet 42 % ([Fr. 22'550.-- / Fr. 53'114.--] x 100).</w:t>
      </w:r>
    </w:p>
    <w:p>
      <w:r>
        <w:rPr>
          <w:b/>
        </w:rPr>
        <w:t>E. 4</w:t>
      </w:r>
    </w:p>
    <w:p>
      <w:r>
        <w:t>4.1    Die Beschwerdegegnerin hatte die Beschwerdeführerin im Rahmen des Verwaltungsverfahrens bei der Stellensuche unterstützt. Sie hatte die Arbeitsvermittlung eingestellt, nachdem sämtliche Bemühungen, die Beschwerdeführerin in den freien Arbeitsmarkt zu integrieren, gescheitert waren. Weitere Eingliederungsmassnahmen wurden offenbar nicht geprüft.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 In der Regel besteht nur ein Anspruch auf die dem jeweiligen Eingliederungszweck angemessenen, notwendigen Massnahmen, nicht aber auf die nach den gegebenen Umständen bestmöglichen Vorkehren (BGE 110 V 102 E. 2). Denn das Gesetz will die Eingliederung lediglich so weit sicherstellen, als diese im Einzelfall notwendig, aber auch genügend ist (BGE 124 V 110 E. 2a mit Hinweisen). Gemäss Art. 17 Abs. 1 IVG besteht ein Anspruch auf eine Umschulung in eine neue Erwerbstätigkeit, wenn die Umschulung infolge Invalidität notwendig ist und dadurch die Erwerbsfähigkeit voraussichtlich erhalten oder wesentlich verbessert werden kann. Nach der Rechtsprechung liegt Invalidität im Sinn von Art. 17 IVG vor, wenn die ver­sicherte Person wegen der Art und Schwere des eingetretenen Gesundheitsschadens in den bisher ausgeübten und in den für sie ohne zusätzliche Ausbildung offenstehenden noch zumutbaren Erwerbstätigkeiten eine bleibende oder längere Zeit dauernde Erwerbseinbusse von rund 20 % erleidet (ZAK 1984 91). 4.2    Die Beschwerdeführerin war in der Vergangenheit fast ausschliesslich als Verkäuferin tätig gewesen. Gemäss dem polydisziplinären Gutachten kann sie diese Arbeit nur noch zu 50 % ausüben, während für eine leidensadaptierte Tätigkeit eine 70%ige Arbeitsfähigkeit attestiert wird. Invalidität im Sinn von Art. 17 IVG ist damit grundsätzlich gegeben. Bei der Frage nach der Notwendigkeit einer Umschulung fällt vor allem ins Gewicht, dass die Beschwerdeführerin erst 42 Jahre alt ist; sie bereits jetzt ausschliesslich auf eine Hilfstätigkeit zu verweisen, erscheint deshalb unangemessen. Sodann ist aufgrund der bei ihr bestehenden gesundheitlichen Einschränkungen eine erfolgreiche Umschulung auch nicht von vornherein ausgeschlossen. Inwieweit Umschulungsmöglichkeiten tatsächlich bestehen bzw. inwieweit sich dadurch eine Verbesserung der Erwerbsfähigkeit erreichen lässt, kann nur nach einer eingehenden Prüfung durch die Beschwerdegegnerin beurteilt werden. Gesamthaft ist es deshalb gerechtfertigt, die Sache zur Prüfung und allfälligen Durchführung einer Umschulung ins Verwaltungsverfahren zurückzuweisen.</w:t>
      </w:r>
    </w:p>
    <w:p>
      <w:r>
        <w:rPr>
          <w:b/>
        </w:rPr>
        <w:t>E. 5</w:t>
      </w:r>
    </w:p>
    <w:p>
      <w:r>
        <w:t>5.1    Zusammenfassend ist in teilweiser Gutheissung der Beschwerde die angefochtene Verfügung aufzuheben und der Beschwerdeführerin eine Viertelsrente zuzusprechen. Die Sache ist zur Festsetzung von Rentenbeginn und Rentenhöhe sowie zur Prüfung und allfälligen Durchführung von Umschulungsmassnahmen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Bei diesem Verfahrensausgang ist die Beschwerdeführerin als vollständig obsiegend zu betrachten. Die Beschwerdegegnerin hat deshalb die gesamten Verfahrenskosten zu tragen. 5.3    Die Beschwerdeführerin hat sodann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3'500.-- (inklusive Barauslagen und Mehrwertsteuer). Die Festlegung einer Entschädigung aus unentgeltlicher Rechtsverbeiständung erübrigt sich bei diesem Prozessausgang. Demgemäss hat das Versicherungsgericht im Zirkulationsverfahren gemäss Art. 39 VRP entschieden: 1.       In teilweiser Gutheissung der Beschwerde wird die angefochtene Verfügung vom 24. November 2010 aufgehoben. 2.       Der Beschwerdeführerin wird im Sinn der Erwägungen eine Viertelsrente zugesprochen. 3.       Die Sache wird zur Festsetzung von Rentenbeginn und Rentenhöhe sowie zur Prüfung und allfälligen Durchführung von Umschulungsmassnahmen an die Beschwerdegegnerin zurückgewiesen. 4.     Die Beschwerdegegnerin trägt die Gerichtskosten in der Höhe von Fr. 600.--. 5.     Die Beschwerdegegnerin bezahlt der Beschwerdeführerin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